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AF" w:rsidRPr="00CF29F3" w:rsidRDefault="00C365AF" w:rsidP="00C3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val="uk-UA" w:eastAsia="ru-RU"/>
        </w:rPr>
      </w:pPr>
      <w:proofErr w:type="spellStart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Який</w:t>
      </w:r>
      <w:proofErr w:type="spellEnd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порядок </w:t>
      </w:r>
      <w:proofErr w:type="spellStart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атестації</w:t>
      </w:r>
      <w:proofErr w:type="spellEnd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педагогічних</w:t>
      </w:r>
      <w:proofErr w:type="spellEnd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працівників</w:t>
      </w:r>
      <w:proofErr w:type="spellEnd"/>
      <w:r w:rsidRPr="00C365AF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 xml:space="preserve"> </w:t>
      </w:r>
    </w:p>
    <w:p w:rsidR="00C365AF" w:rsidRPr="00C365AF" w:rsidRDefault="00C365AF" w:rsidP="00C3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65AF" w:rsidRPr="00C365AF" w:rsidRDefault="00C365AF" w:rsidP="00C3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компетентності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адміністрації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питаннях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атестації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залежить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наскільки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будуть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365AF" w:rsidRPr="00C365AF" w:rsidRDefault="00C365AF" w:rsidP="00C3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F4" w:rsidRPr="00D665A4" w:rsidRDefault="00C365AF" w:rsidP="00851FF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успішними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атестаційні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 </w:t>
      </w:r>
    </w:p>
    <w:p w:rsidR="00C365AF" w:rsidRPr="00D665A4" w:rsidRDefault="00C365AF" w:rsidP="00851FF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обґрунтованими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ухвалені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51FF4" w:rsidRPr="00D665A4" w:rsidRDefault="00851FF4" w:rsidP="00C36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5AF" w:rsidRPr="00D665A4" w:rsidRDefault="00C365AF" w:rsidP="00C36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Досі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основний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нормативний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документ,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регламентує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атестації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—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Типове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атестацію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наказом МОН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06.10.2010 № 930 (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Типове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C36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51FF4" w:rsidRPr="00D665A4" w:rsidRDefault="00851FF4" w:rsidP="00C36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1FF4" w:rsidRPr="00D665A4" w:rsidRDefault="00851FF4" w:rsidP="0085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Істотних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порядку</w:t>
      </w:r>
      <w:proofErr w:type="gram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атестації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відбулося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попередні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роки набрали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чинності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важливі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як:</w:t>
      </w:r>
    </w:p>
    <w:p w:rsidR="00851FF4" w:rsidRPr="00D665A4" w:rsidRDefault="00851FF4" w:rsidP="00851F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постанова КМУ «Про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переліку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кваліфікаційних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категорій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порядку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присвоєння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23.12.2015 № 1109 </w:t>
      </w:r>
    </w:p>
    <w:p w:rsidR="00851FF4" w:rsidRPr="00D665A4" w:rsidRDefault="00851FF4" w:rsidP="00851FF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05.09.2017 № 2145-VIII.</w:t>
      </w:r>
    </w:p>
    <w:p w:rsidR="00D665A4" w:rsidRDefault="00D665A4" w:rsidP="0085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1FF4" w:rsidRPr="00D665A4" w:rsidRDefault="00851FF4" w:rsidP="0085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2019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обіцяють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запустити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механізм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добровільної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сертифікації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Сертифікований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матиме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не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атестацію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обов’язковість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відпаде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1FF4" w:rsidRPr="00D665A4" w:rsidRDefault="00851FF4" w:rsidP="0085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факти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атестацію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система </w:t>
      </w:r>
      <w:proofErr w:type="spellStart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851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851FF4" w:rsidRPr="00D665A4" w:rsidRDefault="00851FF4" w:rsidP="00851FF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спрямована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всебічне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педагогічної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педагогів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черговою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позачерговою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чергова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5 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існують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перенесення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чергової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атестації</w:t>
      </w:r>
      <w:proofErr w:type="spellEnd"/>
    </w:p>
    <w:p w:rsidR="00851FF4" w:rsidRPr="00D665A4" w:rsidRDefault="00851FF4" w:rsidP="0085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1FF4" w:rsidRPr="00D665A4" w:rsidRDefault="00851FF4" w:rsidP="0085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Кому </w:t>
      </w:r>
      <w:proofErr w:type="spellStart"/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присвоюють</w:t>
      </w:r>
      <w:proofErr w:type="spellEnd"/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кваліфікаційні</w:t>
      </w:r>
      <w:proofErr w:type="spellEnd"/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категорії</w:t>
      </w:r>
      <w:proofErr w:type="spellEnd"/>
    </w:p>
    <w:p w:rsidR="00851FF4" w:rsidRPr="00D665A4" w:rsidRDefault="00851FF4" w:rsidP="00851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на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присвоєння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кваліфікаційних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категорій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педагоги-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магістри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обіймають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посади: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викладач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соціальний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 по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дітьми-інвалідами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соціальний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 закладу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здоров’я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завідувач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логопедичного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пункту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методист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організатор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концертмейстер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вихователь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-методист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музичний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інструктор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фізкультури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інструктор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1FF4" w:rsidRPr="00D665A4" w:rsidRDefault="00851FF4" w:rsidP="00851F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інструктор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слухового </w:t>
      </w:r>
      <w:proofErr w:type="spellStart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кабінету</w:t>
      </w:r>
      <w:proofErr w:type="spellEnd"/>
      <w:r w:rsidRPr="00D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1FF4" w:rsidRPr="00851FF4" w:rsidRDefault="00851FF4" w:rsidP="0085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A1" w:rsidRPr="00D665A4" w:rsidRDefault="00361EA1" w:rsidP="0036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A4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D665A4">
        <w:rPr>
          <w:rFonts w:ascii="Times New Roman" w:hAnsi="Times New Roman" w:cs="Times New Roman"/>
          <w:b/>
          <w:sz w:val="28"/>
          <w:szCs w:val="28"/>
        </w:rPr>
        <w:t>присвоюють</w:t>
      </w:r>
      <w:proofErr w:type="spellEnd"/>
      <w:r w:rsidRPr="00D66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5A4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Pr="00D66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5A4">
        <w:rPr>
          <w:rFonts w:ascii="Times New Roman" w:hAnsi="Times New Roman" w:cs="Times New Roman"/>
          <w:b/>
          <w:sz w:val="28"/>
          <w:szCs w:val="28"/>
        </w:rPr>
        <w:t>звання</w:t>
      </w:r>
      <w:proofErr w:type="spellEnd"/>
    </w:p>
    <w:p w:rsidR="00361EA1" w:rsidRDefault="00361EA1" w:rsidP="00361E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EA1" w:rsidRPr="00361EA1" w:rsidRDefault="00361EA1" w:rsidP="00361E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1EA1">
        <w:rPr>
          <w:rFonts w:ascii="Times New Roman" w:hAnsi="Times New Roman" w:cs="Times New Roman"/>
          <w:sz w:val="28"/>
          <w:szCs w:val="28"/>
        </w:rPr>
        <w:t xml:space="preserve">директор закладу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A1" w:rsidRPr="00361EA1" w:rsidRDefault="00361EA1" w:rsidP="00361E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рада закладу </w:t>
      </w:r>
    </w:p>
    <w:p w:rsidR="00361EA1" w:rsidRPr="00361EA1" w:rsidRDefault="00361EA1" w:rsidP="00361E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1EA1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EA1" w:rsidRDefault="00361EA1" w:rsidP="00361E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EA1" w:rsidRPr="00361EA1" w:rsidRDefault="00361EA1" w:rsidP="00361E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EA1">
        <w:rPr>
          <w:rFonts w:ascii="Times New Roman" w:hAnsi="Times New Roman" w:cs="Times New Roman"/>
          <w:sz w:val="28"/>
          <w:szCs w:val="28"/>
        </w:rPr>
        <w:t>до списку</w:t>
      </w:r>
      <w:proofErr w:type="gram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атестуватися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A1" w:rsidRPr="00361EA1" w:rsidRDefault="00361EA1" w:rsidP="00361EA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A1">
        <w:rPr>
          <w:rFonts w:ascii="Times New Roman" w:hAnsi="Times New Roman" w:cs="Times New Roman"/>
          <w:sz w:val="28"/>
          <w:szCs w:val="28"/>
        </w:rPr>
        <w:t>висунутих</w:t>
      </w:r>
      <w:proofErr w:type="spellEnd"/>
      <w:r w:rsidRPr="00361EA1">
        <w:rPr>
          <w:rFonts w:ascii="Times New Roman" w:hAnsi="Times New Roman" w:cs="Times New Roman"/>
          <w:sz w:val="28"/>
          <w:szCs w:val="28"/>
        </w:rPr>
        <w:t xml:space="preserve"> кандидатур.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атестаційній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включили до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порушували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r w:rsidRPr="00882BEB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BE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2BEB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», включено до списку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з’ясувала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>:</w:t>
      </w:r>
    </w:p>
    <w:p w:rsidR="00882BEB" w:rsidRPr="00882BEB" w:rsidRDefault="00882BEB" w:rsidP="00882B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EB" w:rsidRPr="00882BEB" w:rsidRDefault="00882BEB" w:rsidP="00882B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запровадив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занять </w:t>
      </w:r>
    </w:p>
    <w:p w:rsidR="00882BEB" w:rsidRPr="00882BEB" w:rsidRDefault="00882BEB" w:rsidP="00882B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82BEB">
        <w:rPr>
          <w:rFonts w:ascii="Times New Roman" w:hAnsi="Times New Roman" w:cs="Times New Roman"/>
          <w:sz w:val="28"/>
          <w:szCs w:val="28"/>
        </w:rPr>
        <w:t xml:space="preserve">досягнув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>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акі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сукупно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гідним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-методист». Тому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правильно буде,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звернуться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в межах одного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циклу, не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відкладаючи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>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r w:rsidRPr="00882BEB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-методист»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BE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proofErr w:type="gram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логічними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раціональними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>:</w:t>
      </w:r>
    </w:p>
    <w:p w:rsidR="00882BEB" w:rsidRPr="00882BEB" w:rsidRDefault="00882BEB" w:rsidP="00882B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2BEB">
        <w:rPr>
          <w:rFonts w:ascii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EB" w:rsidRPr="00882BEB" w:rsidRDefault="00882BEB" w:rsidP="00882B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2BEB">
        <w:rPr>
          <w:rFonts w:ascii="Times New Roman" w:hAnsi="Times New Roman" w:cs="Times New Roman"/>
          <w:sz w:val="28"/>
          <w:szCs w:val="28"/>
        </w:rPr>
        <w:t xml:space="preserve">повторна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невиправданим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тягарем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для самого педагога.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одночасне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заощадить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позбавить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lastRenderedPageBreak/>
        <w:t>працівника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два роки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 w:rsidRPr="0088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BEB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BEB" w:rsidRPr="00882BEB" w:rsidRDefault="00882BEB" w:rsidP="00882B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>ивчення педагогічної діяльності осіб, які атестуються</w:t>
      </w:r>
    </w:p>
    <w:p w:rsidR="00882BEB" w:rsidRPr="00882BEB" w:rsidRDefault="00882BEB" w:rsidP="00882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1 березня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Атестаційна комісія має отримати характеристики діяльності всіх педагогів, які проходять атестацію.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>До 15 березня</w:t>
      </w: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— за затвердженим графіком Атестаційна комісія вивчає педагогічну діяльність осіб, які атестуються:</w:t>
      </w:r>
    </w:p>
    <w:p w:rsidR="00882BEB" w:rsidRPr="00882BEB" w:rsidRDefault="00882BEB" w:rsidP="00882B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відвідує </w:t>
      </w:r>
      <w:proofErr w:type="spellStart"/>
      <w:r w:rsidRPr="00882BE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заняття), позаурочні (</w:t>
      </w:r>
      <w:proofErr w:type="spellStart"/>
      <w:r w:rsidRPr="00882BEB">
        <w:rPr>
          <w:rFonts w:ascii="Times New Roman" w:hAnsi="Times New Roman" w:cs="Times New Roman"/>
          <w:sz w:val="28"/>
          <w:szCs w:val="28"/>
          <w:lang w:val="uk-UA"/>
        </w:rPr>
        <w:t>позанавчальні</w:t>
      </w:r>
      <w:proofErr w:type="spellEnd"/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) заходи </w:t>
      </w:r>
    </w:p>
    <w:p w:rsidR="00882BEB" w:rsidRPr="00882BEB" w:rsidRDefault="00882BEB" w:rsidP="00882B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вивчає рівень навчальних досягнень учнів із предмета (дисципліни), що викладає педагогічний працівник </w:t>
      </w:r>
    </w:p>
    <w:p w:rsidR="00882BEB" w:rsidRPr="00882BEB" w:rsidRDefault="00882BEB" w:rsidP="00882B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ознайомлюється з навчальною документацією щодо виконання педагогічним працівником своїх посадових обов’язків, його участі в роботі методичних об’єднань, фахових конкурсах та інших заходах, пов’язаних з організацією освітнього процесу, тощо.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При оцінюванні роботи педагогів ураховують показники, ще свідчать про: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динаміку навчальних досягнень учнів за останні три роки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позаурочних досягнень учнів із навчальних предметів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освітніх технологій, зокрема й ІКТ, у процесі навчання та під час проведення виховних заходів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виконання функцій класного керівника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й поширення власного педагогічного досвіду (проведення відкритих уроків, майстер-класів, семінарів тощо)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професійної кваліфікації </w:t>
      </w:r>
    </w:p>
    <w:p w:rsidR="00882BEB" w:rsidRPr="00882BEB" w:rsidRDefault="00882BEB" w:rsidP="00882BE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участь у діяльності професійних об’єднань.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Порядок атестації педагогічних працівників регулює Типове положення про атестацію педагогічних працівників, затверджене наказом Міністерства освіти і науки України від 06.10.2010 № 930.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Атестаційні комісії відповідно до затвердженого графіку роботи вивчають педагогічну діяльність осіб, які атестуються, до 15 березня. Після цього терміну — ухвалюють відповідні рішення.</w:t>
      </w:r>
    </w:p>
    <w:p w:rsidR="00882BEB" w:rsidRPr="00882BEB" w:rsidRDefault="00882BEB" w:rsidP="00882B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82BEB">
        <w:rPr>
          <w:rFonts w:ascii="Times New Roman" w:hAnsi="Times New Roman" w:cs="Times New Roman"/>
          <w:b/>
          <w:sz w:val="28"/>
          <w:szCs w:val="28"/>
          <w:lang w:val="uk-UA"/>
        </w:rPr>
        <w:t>хвалення рішень атестаційними комісіями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має бути проведена у такі терміни: </w:t>
      </w:r>
    </w:p>
    <w:p w:rsidR="00882BEB" w:rsidRPr="00882BEB" w:rsidRDefault="00882BEB" w:rsidP="00882BE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5A4">
        <w:rPr>
          <w:rFonts w:ascii="Times New Roman" w:hAnsi="Times New Roman" w:cs="Times New Roman"/>
          <w:b/>
          <w:sz w:val="28"/>
          <w:szCs w:val="28"/>
          <w:lang w:val="uk-UA"/>
        </w:rPr>
        <w:t>до 1 квітня</w:t>
      </w: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— атестаційними комісіями I рівня </w:t>
      </w:r>
    </w:p>
    <w:p w:rsidR="00882BEB" w:rsidRPr="00882BEB" w:rsidRDefault="00882BEB" w:rsidP="00882BE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5A4">
        <w:rPr>
          <w:rFonts w:ascii="Times New Roman" w:hAnsi="Times New Roman" w:cs="Times New Roman"/>
          <w:b/>
          <w:sz w:val="28"/>
          <w:szCs w:val="28"/>
          <w:lang w:val="uk-UA"/>
        </w:rPr>
        <w:t>до 10 квітня</w:t>
      </w: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— атестаційними комісіями II рівня </w:t>
      </w:r>
    </w:p>
    <w:p w:rsidR="00882BEB" w:rsidRPr="00882BEB" w:rsidRDefault="00882BEB" w:rsidP="00882BE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5A4">
        <w:rPr>
          <w:rFonts w:ascii="Times New Roman" w:hAnsi="Times New Roman" w:cs="Times New Roman"/>
          <w:b/>
          <w:sz w:val="28"/>
          <w:szCs w:val="28"/>
          <w:lang w:val="uk-UA"/>
        </w:rPr>
        <w:t>до 25 квітня</w:t>
      </w: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— атестаційними комісіями III рівня.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Атестаційні комісії I рівня створюють, зокрема, у дошкільних та загальноосвітніх навчальних закладах.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Атестаційна комісія навчального закладу має право:</w:t>
      </w:r>
    </w:p>
    <w:p w:rsidR="00882BEB" w:rsidRPr="00882BEB" w:rsidRDefault="00882BEB" w:rsidP="00882BE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атестувати педагогічног</w:t>
      </w: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о працівника на відповідність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– займаній посаді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 – раніше присвоєній кваліфікаційній категорії </w:t>
      </w:r>
    </w:p>
    <w:p w:rsidR="00882BEB" w:rsidRPr="00882BEB" w:rsidRDefault="00882BEB" w:rsidP="00882BE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кваліфікаційну категорію. 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Окрім того, атестаційна комісія навчального зак</w:t>
      </w:r>
      <w:r>
        <w:rPr>
          <w:rFonts w:ascii="Times New Roman" w:hAnsi="Times New Roman" w:cs="Times New Roman"/>
          <w:sz w:val="28"/>
          <w:szCs w:val="28"/>
          <w:lang w:val="uk-UA"/>
        </w:rPr>
        <w:t>ладу може приймати рішення про:</w:t>
      </w:r>
    </w:p>
    <w:p w:rsidR="00882BEB" w:rsidRPr="00882BEB" w:rsidRDefault="00882BEB" w:rsidP="00882BE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займаній посаді за умови виконання визначених заходів </w:t>
      </w:r>
    </w:p>
    <w:p w:rsidR="00882BEB" w:rsidRPr="00882BEB" w:rsidRDefault="00882BEB" w:rsidP="00882BE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невідповідність займаній посаді.</w:t>
      </w:r>
    </w:p>
    <w:p w:rsidR="00882BEB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>Свої рішення за результатами вивчення педагогічної діяльності працівників атестаційна комісія навчального закладу приймає до 1 квітня.</w:t>
      </w:r>
    </w:p>
    <w:p w:rsidR="00D665A4" w:rsidRDefault="00882BEB" w:rsidP="00882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BEB">
        <w:rPr>
          <w:rFonts w:ascii="Times New Roman" w:hAnsi="Times New Roman" w:cs="Times New Roman"/>
          <w:sz w:val="28"/>
          <w:szCs w:val="28"/>
          <w:lang w:val="uk-UA"/>
        </w:rPr>
        <w:t xml:space="preserve">Також атестаційна комісія навчального закладу може порушувати клопотання перед атестаційними комісіями вищих рівнів про присвоєння педагогічному працівникові: </w:t>
      </w:r>
    </w:p>
    <w:p w:rsidR="00D665A4" w:rsidRPr="00D665A4" w:rsidRDefault="00882BEB" w:rsidP="00D665A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5A4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кваліфікаційної категорії «спеціаліст вищої категорії» </w:t>
      </w:r>
    </w:p>
    <w:p w:rsidR="00882BEB" w:rsidRPr="00D665A4" w:rsidRDefault="00882BEB" w:rsidP="00D665A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665A4">
        <w:rPr>
          <w:rFonts w:ascii="Times New Roman" w:hAnsi="Times New Roman" w:cs="Times New Roman"/>
          <w:sz w:val="28"/>
          <w:szCs w:val="28"/>
          <w:lang w:val="uk-UA"/>
        </w:rPr>
        <w:t>педагогічного звання.</w:t>
      </w:r>
    </w:p>
    <w:p w:rsidR="00D665A4" w:rsidRDefault="00D665A4" w:rsidP="00D665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34025" cy="6219825"/>
            <wp:effectExtent l="0" t="0" r="9525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36" cy="62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5A4" w:rsidSect="00C365A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36B"/>
    <w:multiLevelType w:val="hybridMultilevel"/>
    <w:tmpl w:val="B44E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8C4"/>
    <w:multiLevelType w:val="hybridMultilevel"/>
    <w:tmpl w:val="DDCA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E1"/>
    <w:multiLevelType w:val="hybridMultilevel"/>
    <w:tmpl w:val="7D68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5BAA"/>
    <w:multiLevelType w:val="hybridMultilevel"/>
    <w:tmpl w:val="AD3E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7E5A"/>
    <w:multiLevelType w:val="hybridMultilevel"/>
    <w:tmpl w:val="0D12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0C5"/>
    <w:multiLevelType w:val="hybridMultilevel"/>
    <w:tmpl w:val="D76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7A9"/>
    <w:multiLevelType w:val="hybridMultilevel"/>
    <w:tmpl w:val="407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1F6F"/>
    <w:multiLevelType w:val="hybridMultilevel"/>
    <w:tmpl w:val="5BBA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B34"/>
    <w:multiLevelType w:val="hybridMultilevel"/>
    <w:tmpl w:val="A336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46D9"/>
    <w:multiLevelType w:val="hybridMultilevel"/>
    <w:tmpl w:val="55F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3621"/>
    <w:multiLevelType w:val="hybridMultilevel"/>
    <w:tmpl w:val="9070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1622"/>
    <w:multiLevelType w:val="hybridMultilevel"/>
    <w:tmpl w:val="9D24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1421"/>
    <w:multiLevelType w:val="hybridMultilevel"/>
    <w:tmpl w:val="AF06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251A9"/>
    <w:multiLevelType w:val="hybridMultilevel"/>
    <w:tmpl w:val="F35E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F"/>
    <w:rsid w:val="00361EA1"/>
    <w:rsid w:val="003A6521"/>
    <w:rsid w:val="00851FF4"/>
    <w:rsid w:val="00882BEB"/>
    <w:rsid w:val="00B0077F"/>
    <w:rsid w:val="00C365AF"/>
    <w:rsid w:val="00CF29F3"/>
    <w:rsid w:val="00D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F6C4"/>
  <w15:chartTrackingRefBased/>
  <w15:docId w15:val="{70BAAFD3-67EA-48BB-87C4-99C75C4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2018-01-26T11:40:00Z</dcterms:created>
  <dcterms:modified xsi:type="dcterms:W3CDTF">2018-01-26T12:39:00Z</dcterms:modified>
</cp:coreProperties>
</file>