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2C" w:rsidRPr="007D022C" w:rsidRDefault="009608D6" w:rsidP="007B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ідокремлений</w:t>
      </w:r>
      <w:r w:rsidRPr="0096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структурний підрозділ </w:t>
      </w:r>
      <w:r w:rsidR="004B19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60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Технолого</w:t>
      </w:r>
      <w:proofErr w:type="spellEnd"/>
      <w:r w:rsidRPr="009608D6">
        <w:rPr>
          <w:rFonts w:ascii="Times New Roman" w:eastAsia="Times New Roman" w:hAnsi="Times New Roman" w:cs="Times New Roman"/>
          <w:sz w:val="28"/>
          <w:szCs w:val="28"/>
          <w:lang w:eastAsia="ru-RU"/>
        </w:rPr>
        <w:t>-економічний фаховий коледж Білоцерківського НАУ</w:t>
      </w:r>
      <w:r w:rsidR="004B199D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7B01BB" w:rsidRDefault="007B01BB" w:rsidP="007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22C" w:rsidRDefault="007D022C" w:rsidP="007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7B01BB" w:rsidRPr="007D022C" w:rsidRDefault="007B01BB" w:rsidP="007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22C" w:rsidRPr="007D022C" w:rsidRDefault="009608D6" w:rsidP="007B0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2122C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</w:t>
      </w:r>
      <w:r w:rsidR="007D3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№___</w:t>
      </w:r>
      <w:r w:rsidR="0072122C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bookmarkStart w:id="0" w:name="_GoBack"/>
      <w:bookmarkEnd w:id="0"/>
      <w:r w:rsidR="007D397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D022C" w:rsidRPr="007D02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D022C" w:rsidRPr="007D0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022C" w:rsidRPr="007D0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D022C" w:rsidRPr="007D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 Біла Церква</w:t>
      </w:r>
    </w:p>
    <w:p w:rsidR="007B01BB" w:rsidRDefault="007B01BB" w:rsidP="007B0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1BB" w:rsidRDefault="007D022C" w:rsidP="007B0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ро підвищення </w:t>
      </w:r>
      <w:r w:rsidR="000A40C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к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валіфікації </w:t>
      </w:r>
    </w:p>
    <w:p w:rsidR="007D022C" w:rsidRPr="007D022C" w:rsidRDefault="007D022C" w:rsidP="007B0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педагогічних працівників</w:t>
      </w:r>
    </w:p>
    <w:p w:rsidR="007B01BB" w:rsidRDefault="007B01BB" w:rsidP="007B01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</w:p>
    <w:p w:rsidR="007D022C" w:rsidRPr="007D022C" w:rsidRDefault="007D022C" w:rsidP="007B01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У</w:t>
      </w:r>
      <w:r w:rsidR="000A40C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відповідності з вимогами Законів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України</w:t>
      </w:r>
      <w:r w:rsidR="000A40C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: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«Про освіту», «Про вищу освіту»,</w:t>
      </w:r>
      <w:r w:rsidR="000A40C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«Про фахову </w:t>
      </w:r>
      <w:proofErr w:type="spellStart"/>
      <w:r w:rsidR="000A40C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передвищу</w:t>
      </w:r>
      <w:proofErr w:type="spellEnd"/>
      <w:r w:rsidR="000A40C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освіту»,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«Типового положення про атестацію педагогічних працівників»</w:t>
      </w:r>
      <w:r w:rsidR="007B01B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F0677A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(із змінами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, внесеними наказом МОН України від 20.10.2011 №1473 </w:t>
      </w:r>
      <w:r w:rsidR="00F0677A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та змінами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затвердженим</w:t>
      </w:r>
      <w:r w:rsidR="007B01B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и наказом МОН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України від </w:t>
      </w:r>
      <w:r w:rsidR="007B01B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08.08.2013 №</w:t>
      </w:r>
      <w:r w:rsidRPr="00C91B21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1135), </w:t>
      </w:r>
      <w:r w:rsidR="000A40C8" w:rsidRPr="00C91B21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Постановою КМУ «</w:t>
      </w:r>
      <w:r w:rsidR="000A40C8" w:rsidRPr="00C91B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Деякі питання підвищення кваліфікації педагогічних і науково-педагогічних працівників»</w:t>
      </w:r>
      <w:r w:rsidR="000A40C8" w:rsidRPr="00C91B21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(</w:t>
      </w:r>
      <w:r w:rsidR="000A40C8" w:rsidRPr="00C91B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 21 серпня 2019 р. № 800</w:t>
      </w:r>
      <w:r w:rsidR="000A40C8" w:rsidRPr="00C91B21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)</w:t>
      </w:r>
      <w:r w:rsidR="00055D00" w:rsidRPr="00C91B21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, Постановою КМУ «Про внесення змін до Порядку підвищення кваліфікації педагогічних і науково-педагогічних працівників» (від 27 грудня 2019 р. № 1133)</w:t>
      </w:r>
      <w:r w:rsidRPr="00C91B21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та з метою створення умов педагогічним працівникам для підвищення науково-теоретичного і методичного рівнів викладання навчальних дисциплін та результативності їх педагогічної та науково-методичної роботи, оновлення та розширення знань, формування нових професійних </w:t>
      </w:r>
      <w:proofErr w:type="spellStart"/>
      <w:r w:rsidRPr="00C91B21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компетентностей</w:t>
      </w:r>
      <w:proofErr w:type="spellEnd"/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засвоєння інноваційних</w:t>
      </w:r>
      <w:r w:rsidR="00055D00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цифрових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технологій, </w:t>
      </w:r>
      <w:proofErr w:type="spellStart"/>
      <w:r w:rsidR="00A11EF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методологій</w:t>
      </w:r>
      <w:proofErr w:type="spellEnd"/>
      <w:r w:rsidR="00A11EF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дистанційного та змішаного навчання, 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вивчення педагогічного досвіду, сучасного виробництва, методів управління, ознайомлення з досягненнями науки, техніки, виробництва та перспективами їх</w:t>
      </w:r>
      <w:r w:rsidR="00A11EF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нього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розвитку. </w:t>
      </w:r>
    </w:p>
    <w:p w:rsidR="00F61EE4" w:rsidRDefault="00F61EE4" w:rsidP="007B0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" w:eastAsia="ru-RU"/>
        </w:rPr>
      </w:pPr>
    </w:p>
    <w:p w:rsidR="007D022C" w:rsidRDefault="007D022C" w:rsidP="007B0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" w:eastAsia="ru-RU"/>
        </w:rPr>
      </w:pPr>
      <w:r w:rsidRPr="007D0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" w:eastAsia="ru-RU"/>
        </w:rPr>
        <w:t>НАКАЗУЮ:</w:t>
      </w:r>
    </w:p>
    <w:p w:rsidR="007B01BB" w:rsidRPr="007D022C" w:rsidRDefault="007B01BB" w:rsidP="007B0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</w:p>
    <w:p w:rsidR="007D022C" w:rsidRDefault="007D022C" w:rsidP="00597CF6">
      <w:pPr>
        <w:numPr>
          <w:ilvl w:val="0"/>
          <w:numId w:val="1"/>
        </w:numPr>
        <w:tabs>
          <w:tab w:val="left" w:pos="100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Методисту коледжу Матвієнко В.М. скласти план-графік підвищення кваліфікації педагог</w:t>
      </w:r>
      <w:r w:rsidR="00F61EE4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</w:t>
      </w:r>
      <w:r w:rsid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чних працівників коледжу на 2021</w:t>
      </w:r>
      <w:r w:rsidR="00F61EE4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-202</w:t>
      </w:r>
      <w:r w:rsid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2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навчальний рік.</w:t>
      </w:r>
    </w:p>
    <w:p w:rsidR="00F0677A" w:rsidRPr="00F0677A" w:rsidRDefault="00F0677A" w:rsidP="00597CF6">
      <w:p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" w:eastAsia="ru-RU"/>
        </w:rPr>
      </w:pPr>
    </w:p>
    <w:p w:rsidR="004B199D" w:rsidRPr="004B199D" w:rsidRDefault="007D022C" w:rsidP="004B199D">
      <w:pPr>
        <w:numPr>
          <w:ilvl w:val="0"/>
          <w:numId w:val="1"/>
        </w:num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Протягом навчального року пройти підвищення кваліфікації </w:t>
      </w:r>
      <w:r w:rsidR="00A3165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(за планом) на курсах 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таким педагогічним працівникам: </w:t>
      </w:r>
      <w:r w:rsidR="004B199D"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Андрущенко Олександра Анатоліївна</w:t>
      </w:r>
    </w:p>
    <w:p w:rsidR="00A11EF7" w:rsidRPr="004B199D" w:rsidRDefault="004B199D" w:rsidP="004B199D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Бадін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О.М., </w:t>
      </w: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Бараненко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М.М., </w:t>
      </w: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Бєляков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Є.В., </w:t>
      </w:r>
      <w:r w:rsidR="00A804B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Бойко Н.М., Гудим Ю.Л., </w:t>
      </w: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Гриценюк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С.С.,  </w:t>
      </w: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Загоруйко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О. В., Іщук В.В., </w:t>
      </w: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Каленська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А.В., Лесь В.М., </w:t>
      </w: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Матусевич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О.В., Покотило Д.І., </w:t>
      </w: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Рябченко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Г.В.,</w:t>
      </w:r>
      <w:r w:rsidR="00A804B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proofErr w:type="spellStart"/>
      <w:r w:rsidR="00A804B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Рой</w:t>
      </w:r>
      <w:proofErr w:type="spellEnd"/>
      <w:r w:rsidR="00A804B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Н.М.,</w:t>
      </w:r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Сагдєєва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Ю.А., </w:t>
      </w: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Семенюта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Н.А.,</w:t>
      </w:r>
      <w:r w:rsidR="00A804B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proofErr w:type="spellStart"/>
      <w:r w:rsidR="00A804B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Селих</w:t>
      </w:r>
      <w:proofErr w:type="spellEnd"/>
      <w:r w:rsidR="00A804B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І.П.,</w:t>
      </w:r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Святецька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Л.І., </w:t>
      </w:r>
      <w:proofErr w:type="spellStart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Синявська</w:t>
      </w:r>
      <w:proofErr w:type="spellEnd"/>
      <w:r w:rsidRP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А.В., Чала І.Т.,</w:t>
      </w:r>
    </w:p>
    <w:p w:rsidR="00A56A6A" w:rsidRDefault="007D022C" w:rsidP="00A56A6A">
      <w:pPr>
        <w:numPr>
          <w:ilvl w:val="0"/>
          <w:numId w:val="1"/>
        </w:numPr>
        <w:shd w:val="clear" w:color="auto" w:fill="FFFFFF"/>
        <w:tabs>
          <w:tab w:val="left" w:pos="101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Пройти стажування на передових підприємствах галузей - базах практики викладачам </w:t>
      </w:r>
      <w:proofErr w:type="spellStart"/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спецдисциплін</w:t>
      </w:r>
      <w:proofErr w:type="spellEnd"/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: </w:t>
      </w:r>
      <w:r w:rsid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Поліщук Н.В., Федорченко Т. А.</w:t>
      </w:r>
    </w:p>
    <w:p w:rsidR="00A31657" w:rsidRPr="00A56A6A" w:rsidRDefault="00A31657" w:rsidP="00A56A6A">
      <w:pPr>
        <w:numPr>
          <w:ilvl w:val="0"/>
          <w:numId w:val="1"/>
        </w:numPr>
        <w:shd w:val="clear" w:color="auto" w:fill="FFFFFF"/>
        <w:tabs>
          <w:tab w:val="left" w:pos="101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Педагогічним працівникам коледжу пройти підвищення кваліфікації, через участь у семінарах,</w:t>
      </w:r>
      <w:r w:rsid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конференціях,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вебінар</w:t>
      </w:r>
      <w:r w:rsidR="003A77D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ах</w:t>
      </w:r>
      <w:proofErr w:type="spellEnd"/>
      <w:r w:rsidR="003A77D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марафонах, тренінгах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з</w:t>
      </w:r>
      <w:r w:rsidR="004B199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викладання  навчальних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дисципліни, актуальних психолого-педагогічних </w:t>
      </w:r>
      <w:r w:rsidR="003A77D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lastRenderedPageBreak/>
        <w:t xml:space="preserve">проблем, методики інноваційних та змішаних технологій, </w:t>
      </w:r>
      <w:r w:rsidR="00055D00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з питань </w:t>
      </w:r>
      <w:r w:rsidR="003A77D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інклюзивної освіти та інше в обсязі тридцяти годин за навчальний рік.</w:t>
      </w:r>
    </w:p>
    <w:p w:rsidR="003A3D99" w:rsidRPr="00F0677A" w:rsidRDefault="003A3D99" w:rsidP="00597CF6">
      <w:pPr>
        <w:numPr>
          <w:ilvl w:val="0"/>
          <w:numId w:val="1"/>
        </w:numPr>
        <w:shd w:val="clear" w:color="auto" w:fill="FFFFFF"/>
        <w:tabs>
          <w:tab w:val="left" w:pos="101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Головам циклових комісій організувати проходження підвищення кваліфікації та підготовку програм і звітів, заслухати їх на засіданнях циклових комісій</w:t>
      </w:r>
      <w:r w:rsidR="00597CF6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.</w:t>
      </w:r>
    </w:p>
    <w:p w:rsidR="00F0677A" w:rsidRPr="007D022C" w:rsidRDefault="00F0677A" w:rsidP="00597CF6">
      <w:pPr>
        <w:shd w:val="clear" w:color="auto" w:fill="FFFFFF"/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" w:eastAsia="ru-RU"/>
        </w:rPr>
      </w:pPr>
    </w:p>
    <w:p w:rsidR="007D022C" w:rsidRPr="007D022C" w:rsidRDefault="007D022C" w:rsidP="00597CF6">
      <w:pPr>
        <w:numPr>
          <w:ilvl w:val="0"/>
          <w:numId w:val="1"/>
        </w:numPr>
        <w:shd w:val="clear" w:color="auto" w:fill="FFFFFF"/>
        <w:tabs>
          <w:tab w:val="left" w:pos="101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Заступнику директора з навчальної роботи </w:t>
      </w:r>
      <w:proofErr w:type="spellStart"/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Харчишиній</w:t>
      </w:r>
      <w:proofErr w:type="spellEnd"/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О.М. забезпечити звільнення від занять вищезазначених викладачів згідно з графіком підвищення кваліфікації.</w:t>
      </w:r>
    </w:p>
    <w:p w:rsidR="00597CF6" w:rsidRDefault="007D022C" w:rsidP="00D04B4A">
      <w:pPr>
        <w:numPr>
          <w:ilvl w:val="0"/>
          <w:numId w:val="1"/>
        </w:numPr>
        <w:tabs>
          <w:tab w:val="left" w:pos="1004"/>
        </w:tabs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Викладачам скласти програми і</w:t>
      </w:r>
      <w:r w:rsidR="00597CF6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звіти підвищення кваліфікації 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 здати в методичний кабінет та відділ кадрів.</w:t>
      </w:r>
    </w:p>
    <w:p w:rsidR="004B199D" w:rsidRDefault="004B199D" w:rsidP="00D04B4A">
      <w:pPr>
        <w:numPr>
          <w:ilvl w:val="0"/>
          <w:numId w:val="1"/>
        </w:numPr>
        <w:tabs>
          <w:tab w:val="left" w:pos="1004"/>
        </w:tabs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Педагогічним працівникам, які пройшли підвищення кваліфікації, результати якої вимагають затвердження педагогічною радою, подати клопотання та підтверджуючі документи протягом одного місяця.</w:t>
      </w:r>
    </w:p>
    <w:p w:rsidR="004B199D" w:rsidRPr="00D04B4A" w:rsidRDefault="004B199D" w:rsidP="00D04B4A">
      <w:pPr>
        <w:numPr>
          <w:ilvl w:val="0"/>
          <w:numId w:val="1"/>
        </w:numPr>
        <w:tabs>
          <w:tab w:val="left" w:pos="1004"/>
        </w:tabs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Систематично затверджувати рішенням педагогічної ради результати підвищення кваліфікації за клопотанням викладачів.</w:t>
      </w:r>
    </w:p>
    <w:p w:rsidR="00785323" w:rsidRPr="007D022C" w:rsidRDefault="00785323" w:rsidP="00597CF6">
      <w:pPr>
        <w:tabs>
          <w:tab w:val="left" w:pos="1004"/>
        </w:tabs>
        <w:spacing w:after="0" w:line="240" w:lineRule="auto"/>
        <w:ind w:left="700" w:right="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" w:eastAsia="ru-RU"/>
        </w:rPr>
      </w:pPr>
    </w:p>
    <w:p w:rsidR="007D022C" w:rsidRPr="007D022C" w:rsidRDefault="007D022C" w:rsidP="00597CF6">
      <w:pPr>
        <w:numPr>
          <w:ilvl w:val="0"/>
          <w:numId w:val="1"/>
        </w:numPr>
        <w:tabs>
          <w:tab w:val="left" w:pos="99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Контроль за виконанням наказу покласти на методиста </w:t>
      </w:r>
      <w:proofErr w:type="spellStart"/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колед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022C" w:rsidRPr="007D022C" w:rsidRDefault="007D022C" w:rsidP="00597CF6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Матвієнко В.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7D022C" w:rsidRDefault="007D022C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22C" w:rsidRDefault="007D022C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22C" w:rsidRDefault="007D022C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22C" w:rsidRDefault="007D022C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22C" w:rsidRDefault="007D022C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коледжу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2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П. </w:t>
      </w:r>
      <w:proofErr w:type="spellStart"/>
      <w:r w:rsidRPr="007D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Лендрик</w:t>
      </w:r>
      <w:proofErr w:type="spellEnd"/>
    </w:p>
    <w:p w:rsidR="00461739" w:rsidRDefault="00461739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739" w:rsidRDefault="00461739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739" w:rsidRDefault="00461739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739" w:rsidRDefault="00461739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739" w:rsidRDefault="00461739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739" w:rsidRDefault="00461739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739" w:rsidRDefault="00461739" w:rsidP="007D022C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043" w:rsidRPr="007D022C" w:rsidRDefault="00BE2043" w:rsidP="007D022C">
      <w:pPr>
        <w:spacing w:after="0" w:line="240" w:lineRule="auto"/>
        <w:rPr>
          <w:sz w:val="28"/>
          <w:szCs w:val="28"/>
          <w:lang w:val="uk"/>
        </w:rPr>
      </w:pPr>
    </w:p>
    <w:sectPr w:rsidR="00BE2043" w:rsidRPr="007D022C" w:rsidSect="007D3977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CEB"/>
    <w:multiLevelType w:val="multilevel"/>
    <w:tmpl w:val="6620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C"/>
    <w:rsid w:val="00055D00"/>
    <w:rsid w:val="00086D40"/>
    <w:rsid w:val="000A40C8"/>
    <w:rsid w:val="001F6EF7"/>
    <w:rsid w:val="003A3D99"/>
    <w:rsid w:val="003A77DD"/>
    <w:rsid w:val="00461739"/>
    <w:rsid w:val="0046792D"/>
    <w:rsid w:val="004B199D"/>
    <w:rsid w:val="00597CF6"/>
    <w:rsid w:val="005A1A7B"/>
    <w:rsid w:val="005F15B5"/>
    <w:rsid w:val="006B66B8"/>
    <w:rsid w:val="00720D6B"/>
    <w:rsid w:val="0072122C"/>
    <w:rsid w:val="007545C1"/>
    <w:rsid w:val="00785323"/>
    <w:rsid w:val="007B01BB"/>
    <w:rsid w:val="007B75CC"/>
    <w:rsid w:val="007D022C"/>
    <w:rsid w:val="007D3977"/>
    <w:rsid w:val="00801D38"/>
    <w:rsid w:val="00820356"/>
    <w:rsid w:val="00946D56"/>
    <w:rsid w:val="009608D6"/>
    <w:rsid w:val="00A11EF7"/>
    <w:rsid w:val="00A31657"/>
    <w:rsid w:val="00A56A6A"/>
    <w:rsid w:val="00A804B1"/>
    <w:rsid w:val="00BE2043"/>
    <w:rsid w:val="00C91B21"/>
    <w:rsid w:val="00D04B4A"/>
    <w:rsid w:val="00D477E7"/>
    <w:rsid w:val="00F0677A"/>
    <w:rsid w:val="00F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536B"/>
  <w15:docId w15:val="{96C2C084-77CE-4BCA-A16E-8968A593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7A"/>
    <w:pPr>
      <w:ind w:left="720"/>
      <w:contextualSpacing/>
    </w:pPr>
  </w:style>
  <w:style w:type="table" w:styleId="a4">
    <w:name w:val="Table Grid"/>
    <w:basedOn w:val="a1"/>
    <w:uiPriority w:val="59"/>
    <w:rsid w:val="003A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26</cp:revision>
  <cp:lastPrinted>2018-10-01T10:31:00Z</cp:lastPrinted>
  <dcterms:created xsi:type="dcterms:W3CDTF">2019-09-26T12:46:00Z</dcterms:created>
  <dcterms:modified xsi:type="dcterms:W3CDTF">2021-09-21T13:02:00Z</dcterms:modified>
</cp:coreProperties>
</file>